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341D51" w:rsidRDefault="00EA33B0" w:rsidP="00E0726D">
      <w:pPr>
        <w:jc w:val="both"/>
        <w:rPr>
          <w:color w:val="000000" w:themeColor="text1"/>
          <w:lang w:eastAsia="pl-PL"/>
        </w:rPr>
      </w:pPr>
    </w:p>
    <w:p w14:paraId="37B9CC11" w14:textId="77777777" w:rsidR="00EA33B0" w:rsidRPr="00341D51" w:rsidRDefault="00EA33B0" w:rsidP="00E0726D">
      <w:pPr>
        <w:spacing w:before="12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6DD677E6" w14:textId="6E90BC65" w:rsidR="00EA33B0" w:rsidRPr="00341D51" w:rsidRDefault="0074137C" w:rsidP="00E0726D">
      <w:pPr>
        <w:spacing w:after="20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  <w:r w:rsidRPr="00341D51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57C29695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5F17BED9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2D017A2D" w14:textId="0EB4C5AA" w:rsidR="00EA33B0" w:rsidRPr="00341D51" w:rsidRDefault="005E04DB" w:rsidP="00E0726D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341D51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CB8E70B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4C844A8A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A2C7D28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67CA2605" w14:textId="77777777" w:rsidR="00EA33B0" w:rsidRPr="00341D51" w:rsidRDefault="00EA33B0" w:rsidP="00E0726D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43152AF6" w14:textId="77C4B011" w:rsidR="00AF321B" w:rsidRPr="00341D51" w:rsidRDefault="00AF321B" w:rsidP="00E0726D">
      <w:pPr>
        <w:jc w:val="both"/>
        <w:rPr>
          <w:rFonts w:cs="Arial"/>
          <w:b/>
          <w:color w:val="000000" w:themeColor="text1"/>
          <w:sz w:val="36"/>
        </w:rPr>
      </w:pPr>
      <w:r w:rsidRPr="00341D51">
        <w:rPr>
          <w:rFonts w:cs="Arial"/>
          <w:b/>
          <w:color w:val="000000" w:themeColor="text1"/>
          <w:sz w:val="36"/>
        </w:rPr>
        <w:t>Program ramow</w:t>
      </w:r>
      <w:r w:rsidR="006E4278" w:rsidRPr="00341D51">
        <w:rPr>
          <w:rFonts w:cs="Arial"/>
          <w:b/>
          <w:color w:val="000000" w:themeColor="text1"/>
          <w:sz w:val="36"/>
        </w:rPr>
        <w:t>y</w:t>
      </w:r>
      <w:r w:rsidRPr="00341D51">
        <w:rPr>
          <w:rFonts w:cs="Arial"/>
          <w:b/>
          <w:color w:val="000000" w:themeColor="text1"/>
          <w:sz w:val="36"/>
        </w:rPr>
        <w:t xml:space="preserve"> </w:t>
      </w:r>
      <w:r w:rsidR="000C1AA4" w:rsidRPr="00341D51">
        <w:rPr>
          <w:rFonts w:cs="Arial"/>
          <w:b/>
          <w:color w:val="000000" w:themeColor="text1"/>
          <w:sz w:val="36"/>
        </w:rPr>
        <w:t xml:space="preserve">testu zgodności w zakresie </w:t>
      </w:r>
      <w:r w:rsidR="006E4278" w:rsidRPr="00341D51">
        <w:rPr>
          <w:rFonts w:cs="Arial"/>
          <w:b/>
          <w:color w:val="000000" w:themeColor="text1"/>
          <w:sz w:val="36"/>
        </w:rPr>
        <w:t>synchronizacji</w:t>
      </w:r>
    </w:p>
    <w:p w14:paraId="0CCDD494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5175B924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C4C6A8D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676DB19" w14:textId="5363766E" w:rsidR="00AF321B" w:rsidRPr="00341D51" w:rsidRDefault="00AF321B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9C347F5" w14:textId="77777777" w:rsidR="00AF321B" w:rsidRPr="00341D51" w:rsidRDefault="00AF321B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AA08036" w14:textId="3BAC882F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A635B0D" w14:textId="7777777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60A8EDD8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4BB9556E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00F2E43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16E76E4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5D3C54D" w14:textId="77777777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844BE7E" w14:textId="20B08207" w:rsidR="00EA33B0" w:rsidRPr="00341D51" w:rsidRDefault="00EA33B0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E790868" w14:textId="77777777" w:rsidR="008A30ED" w:rsidRPr="00341D51" w:rsidRDefault="008A30ED" w:rsidP="00E0726D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8FF7C2F" w14:textId="77777777" w:rsidR="00EA33B0" w:rsidRPr="00341D51" w:rsidRDefault="00EA33B0" w:rsidP="00E0726D">
      <w:pPr>
        <w:pStyle w:val="Nagwek1"/>
        <w:jc w:val="both"/>
        <w:rPr>
          <w:color w:val="000000" w:themeColor="text1"/>
        </w:rPr>
      </w:pPr>
      <w:bookmarkStart w:id="0" w:name="_Toc14087671"/>
      <w:r w:rsidRPr="00341D51">
        <w:rPr>
          <w:color w:val="000000" w:themeColor="text1"/>
        </w:rPr>
        <w:lastRenderedPageBreak/>
        <w:t>Spis treści</w:t>
      </w:r>
      <w:bookmarkEnd w:id="0"/>
    </w:p>
    <w:p w14:paraId="414B0C91" w14:textId="0FC73518" w:rsidR="00E0726D" w:rsidRPr="00341D51" w:rsidRDefault="00EA33B0">
      <w:pPr>
        <w:pStyle w:val="Spistreci1"/>
        <w:rPr>
          <w:b w:val="0"/>
          <w:noProof/>
          <w:color w:val="000000" w:themeColor="text1"/>
        </w:rPr>
      </w:pPr>
      <w:r w:rsidRPr="00341D51">
        <w:rPr>
          <w:rFonts w:cs="Arial"/>
          <w:color w:val="000000" w:themeColor="text1"/>
        </w:rPr>
        <w:fldChar w:fldCharType="begin"/>
      </w:r>
      <w:r w:rsidRPr="00341D51">
        <w:rPr>
          <w:rFonts w:cs="Arial"/>
          <w:color w:val="000000" w:themeColor="text1"/>
        </w:rPr>
        <w:instrText>TOC \o "1-3" \h</w:instrText>
      </w:r>
      <w:r w:rsidRPr="00341D51">
        <w:rPr>
          <w:rFonts w:cs="Arial"/>
          <w:color w:val="000000" w:themeColor="text1"/>
        </w:rPr>
        <w:fldChar w:fldCharType="separate"/>
      </w:r>
      <w:hyperlink w:anchor="_Toc14087671" w:history="1">
        <w:r w:rsidR="00E0726D" w:rsidRPr="00341D51">
          <w:rPr>
            <w:rStyle w:val="Hipercze"/>
            <w:noProof/>
            <w:color w:val="000000" w:themeColor="text1"/>
          </w:rPr>
          <w:t>1</w:t>
        </w:r>
        <w:r w:rsidR="00E0726D" w:rsidRPr="00341D51">
          <w:rPr>
            <w:b w:val="0"/>
            <w:noProof/>
            <w:color w:val="000000" w:themeColor="text1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Spis treści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_Toc14087671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2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772DECEA" w14:textId="656DBA3F" w:rsidR="00E0726D" w:rsidRPr="00341D51" w:rsidRDefault="00D222C7">
      <w:pPr>
        <w:pStyle w:val="Spistreci1"/>
        <w:rPr>
          <w:b w:val="0"/>
          <w:noProof/>
          <w:color w:val="000000" w:themeColor="text1"/>
        </w:rPr>
      </w:pPr>
      <w:hyperlink w:anchor="_Toc14087672" w:history="1">
        <w:r w:rsidR="00E0726D" w:rsidRPr="00341D51">
          <w:rPr>
            <w:rStyle w:val="Hipercze"/>
            <w:noProof/>
            <w:color w:val="000000" w:themeColor="text1"/>
          </w:rPr>
          <w:t>2</w:t>
        </w:r>
        <w:r w:rsidR="00E0726D" w:rsidRPr="00341D51">
          <w:rPr>
            <w:b w:val="0"/>
            <w:noProof/>
            <w:color w:val="000000" w:themeColor="text1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Cel i zakres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_Toc14087672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37E6CFD5" w14:textId="02434A14" w:rsidR="00E0726D" w:rsidRPr="00341D51" w:rsidRDefault="00D222C7">
      <w:pPr>
        <w:pStyle w:val="Spistreci1"/>
        <w:rPr>
          <w:b w:val="0"/>
          <w:noProof/>
          <w:color w:val="000000" w:themeColor="text1"/>
        </w:rPr>
      </w:pPr>
      <w:hyperlink w:anchor="_Toc14087673" w:history="1">
        <w:r w:rsidR="00E0726D" w:rsidRPr="00341D51">
          <w:rPr>
            <w:rStyle w:val="Hipercze"/>
            <w:noProof/>
            <w:color w:val="000000" w:themeColor="text1"/>
          </w:rPr>
          <w:t>3</w:t>
        </w:r>
        <w:r w:rsidR="00E0726D" w:rsidRPr="00341D51">
          <w:rPr>
            <w:b w:val="0"/>
            <w:noProof/>
            <w:color w:val="000000" w:themeColor="text1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Program ramowy testu zgodności w zakresie zdolności instalacji dystrybucyjnej przyłączonej do systemu przesyłowego do synchronizacji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_Toc14087673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2CBFFDEA" w14:textId="57AD07A3" w:rsidR="00E0726D" w:rsidRPr="00341D51" w:rsidRDefault="00D222C7">
      <w:pPr>
        <w:pStyle w:val="Spistreci2"/>
        <w:rPr>
          <w:noProof/>
          <w:color w:val="000000" w:themeColor="text1"/>
          <w:sz w:val="22"/>
        </w:rPr>
      </w:pPr>
      <w:hyperlink w:anchor="_Toc14087674" w:history="1">
        <w:r w:rsidR="00E0726D" w:rsidRPr="00341D51">
          <w:rPr>
            <w:rStyle w:val="Hipercze"/>
            <w:noProof/>
            <w:color w:val="000000" w:themeColor="text1"/>
          </w:rPr>
          <w:t>3.1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Zakres stosowania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_Toc14087674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5C7CC42F" w14:textId="006D6E22" w:rsidR="00E0726D" w:rsidRPr="00341D51" w:rsidRDefault="00D222C7">
      <w:pPr>
        <w:pStyle w:val="Spistreci2"/>
        <w:rPr>
          <w:noProof/>
          <w:color w:val="000000" w:themeColor="text1"/>
          <w:sz w:val="22"/>
        </w:rPr>
      </w:pPr>
      <w:hyperlink w:anchor="_Toc14087675" w:history="1">
        <w:r w:rsidR="00E0726D" w:rsidRPr="00341D51">
          <w:rPr>
            <w:rStyle w:val="Hipercze"/>
            <w:noProof/>
            <w:color w:val="000000" w:themeColor="text1"/>
          </w:rPr>
          <w:t>3.2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Cel i zakres testu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_Toc14087675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397F3889" w14:textId="7F00AB5D" w:rsidR="00E0726D" w:rsidRPr="00341D51" w:rsidRDefault="00D222C7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087676" w:history="1">
        <w:r w:rsidR="00E0726D" w:rsidRPr="00341D51">
          <w:rPr>
            <w:rStyle w:val="Hipercze"/>
            <w:noProof/>
            <w:color w:val="000000" w:themeColor="text1"/>
          </w:rPr>
          <w:t>3.2.1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Warunki wstępne testu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_Toc14087676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60A8A41A" w14:textId="2DE15D3E" w:rsidR="00E0726D" w:rsidRPr="00341D51" w:rsidRDefault="00D222C7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087677" w:history="1">
        <w:r w:rsidR="00E0726D" w:rsidRPr="00341D51">
          <w:rPr>
            <w:rStyle w:val="Hipercze"/>
            <w:noProof/>
            <w:color w:val="000000" w:themeColor="text1"/>
          </w:rPr>
          <w:t>3.2.2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Testy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_Toc14087677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3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40AC6C76" w14:textId="22D445CD" w:rsidR="00E0726D" w:rsidRPr="00341D51" w:rsidRDefault="00D222C7">
      <w:pPr>
        <w:pStyle w:val="Spistreci2"/>
        <w:rPr>
          <w:noProof/>
          <w:color w:val="000000" w:themeColor="text1"/>
          <w:sz w:val="22"/>
        </w:rPr>
      </w:pPr>
      <w:hyperlink w:anchor="_Toc14087678" w:history="1">
        <w:r w:rsidR="00E0726D" w:rsidRPr="00341D51">
          <w:rPr>
            <w:rStyle w:val="Hipercze"/>
            <w:noProof/>
            <w:color w:val="000000" w:themeColor="text1"/>
          </w:rPr>
          <w:t>3.3</w:t>
        </w:r>
        <w:r w:rsidR="00E0726D" w:rsidRPr="00341D51">
          <w:rPr>
            <w:noProof/>
            <w:color w:val="000000" w:themeColor="text1"/>
            <w:sz w:val="22"/>
          </w:rPr>
          <w:tab/>
        </w:r>
        <w:r w:rsidR="00E0726D" w:rsidRPr="00341D51">
          <w:rPr>
            <w:rStyle w:val="Hipercze"/>
            <w:noProof/>
            <w:color w:val="000000" w:themeColor="text1"/>
          </w:rPr>
          <w:t>Ocena testu</w:t>
        </w:r>
        <w:r w:rsidR="00E0726D" w:rsidRPr="00341D51">
          <w:rPr>
            <w:noProof/>
            <w:color w:val="000000" w:themeColor="text1"/>
          </w:rPr>
          <w:tab/>
        </w:r>
        <w:r w:rsidR="00E0726D" w:rsidRPr="00341D51">
          <w:rPr>
            <w:noProof/>
            <w:color w:val="000000" w:themeColor="text1"/>
          </w:rPr>
          <w:fldChar w:fldCharType="begin"/>
        </w:r>
        <w:r w:rsidR="00E0726D" w:rsidRPr="00341D51">
          <w:rPr>
            <w:noProof/>
            <w:color w:val="000000" w:themeColor="text1"/>
          </w:rPr>
          <w:instrText xml:space="preserve"> PAGEREF _Toc14087678 \h </w:instrText>
        </w:r>
        <w:r w:rsidR="00E0726D" w:rsidRPr="00341D51">
          <w:rPr>
            <w:noProof/>
            <w:color w:val="000000" w:themeColor="text1"/>
          </w:rPr>
        </w:r>
        <w:r w:rsidR="00E0726D" w:rsidRPr="00341D51">
          <w:rPr>
            <w:noProof/>
            <w:color w:val="000000" w:themeColor="text1"/>
          </w:rPr>
          <w:fldChar w:fldCharType="separate"/>
        </w:r>
        <w:r w:rsidR="00E0726D" w:rsidRPr="00341D51">
          <w:rPr>
            <w:noProof/>
            <w:color w:val="000000" w:themeColor="text1"/>
          </w:rPr>
          <w:t>4</w:t>
        </w:r>
        <w:r w:rsidR="00E0726D" w:rsidRPr="00341D51">
          <w:rPr>
            <w:noProof/>
            <w:color w:val="000000" w:themeColor="text1"/>
          </w:rPr>
          <w:fldChar w:fldCharType="end"/>
        </w:r>
      </w:hyperlink>
    </w:p>
    <w:p w14:paraId="720DEF35" w14:textId="0FC986F5" w:rsidR="00EA33B0" w:rsidRPr="00341D51" w:rsidRDefault="00EA33B0" w:rsidP="00E0726D">
      <w:pPr>
        <w:pStyle w:val="Spistreci1"/>
        <w:jc w:val="both"/>
        <w:rPr>
          <w:rFonts w:cs="Arial"/>
          <w:color w:val="000000" w:themeColor="text1"/>
        </w:rPr>
      </w:pPr>
      <w:r w:rsidRPr="00341D51">
        <w:rPr>
          <w:rFonts w:cs="Arial"/>
          <w:color w:val="000000" w:themeColor="text1"/>
        </w:rPr>
        <w:fldChar w:fldCharType="end"/>
      </w:r>
    </w:p>
    <w:p w14:paraId="1B9EB326" w14:textId="77777777" w:rsidR="00EA33B0" w:rsidRPr="00341D51" w:rsidRDefault="00EA33B0" w:rsidP="00E0726D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341D51">
        <w:rPr>
          <w:rFonts w:cs="Arial"/>
          <w:color w:val="000000" w:themeColor="text1"/>
        </w:rPr>
        <w:fldChar w:fldCharType="begin"/>
      </w:r>
      <w:r w:rsidRPr="00341D51">
        <w:rPr>
          <w:rFonts w:cs="Arial"/>
          <w:color w:val="000000" w:themeColor="text1"/>
        </w:rPr>
        <w:instrText>TOC \c "Rysunek"</w:instrText>
      </w:r>
      <w:r w:rsidRPr="00341D51">
        <w:rPr>
          <w:rFonts w:cs="Arial"/>
          <w:color w:val="000000" w:themeColor="text1"/>
        </w:rPr>
        <w:fldChar w:fldCharType="end"/>
      </w:r>
    </w:p>
    <w:p w14:paraId="324B8C0D" w14:textId="77777777" w:rsidR="00EA33B0" w:rsidRPr="00341D51" w:rsidRDefault="00EA33B0" w:rsidP="00E0726D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341D51">
        <w:rPr>
          <w:rFonts w:cs="Arial"/>
          <w:color w:val="000000" w:themeColor="text1"/>
        </w:rPr>
        <w:br w:type="page"/>
      </w:r>
    </w:p>
    <w:p w14:paraId="1748A0FF" w14:textId="77777777" w:rsidR="00EA33B0" w:rsidRPr="00341D51" w:rsidRDefault="00EA33B0" w:rsidP="00E0726D">
      <w:pPr>
        <w:pStyle w:val="Nagwek1"/>
        <w:jc w:val="both"/>
        <w:rPr>
          <w:color w:val="000000" w:themeColor="text1"/>
        </w:rPr>
      </w:pPr>
      <w:bookmarkStart w:id="1" w:name="_Toc14087672"/>
      <w:r w:rsidRPr="00341D51">
        <w:rPr>
          <w:color w:val="000000" w:themeColor="text1"/>
        </w:rPr>
        <w:lastRenderedPageBreak/>
        <w:t>Cel i zakres</w:t>
      </w:r>
      <w:bookmarkEnd w:id="1"/>
    </w:p>
    <w:p w14:paraId="58551B0C" w14:textId="736AE22E" w:rsidR="00EA33B0" w:rsidRPr="00341D51" w:rsidRDefault="00EA33B0" w:rsidP="00E0726D">
      <w:pPr>
        <w:spacing w:after="200"/>
        <w:jc w:val="both"/>
        <w:rPr>
          <w:rFonts w:cs="Arial"/>
          <w:color w:val="000000" w:themeColor="text1"/>
        </w:rPr>
      </w:pPr>
      <w:r w:rsidRPr="00341D51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341D51">
        <w:rPr>
          <w:rFonts w:eastAsia="Times New Roman" w:cs="Arial"/>
          <w:color w:val="000000" w:themeColor="text1"/>
          <w:lang w:eastAsia="pl-PL"/>
        </w:rPr>
        <w:t>testów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ED168A" w:rsidRPr="00341D51">
        <w:rPr>
          <w:rFonts w:eastAsia="Times New Roman" w:cs="Arial"/>
          <w:color w:val="000000" w:themeColor="text1"/>
          <w:lang w:eastAsia="pl-PL"/>
        </w:rPr>
        <w:t xml:space="preserve"> wraz z </w:t>
      </w:r>
      <w:proofErr w:type="gramStart"/>
      <w:r w:rsidR="00ED168A" w:rsidRPr="00341D51">
        <w:rPr>
          <w:rFonts w:eastAsia="Times New Roman" w:cs="Arial"/>
          <w:color w:val="000000" w:themeColor="text1"/>
          <w:lang w:eastAsia="pl-PL"/>
        </w:rPr>
        <w:t>podziałem  obowiązków</w:t>
      </w:r>
      <w:proofErr w:type="gramEnd"/>
      <w:r w:rsidR="00ED168A" w:rsidRPr="00341D51">
        <w:rPr>
          <w:rFonts w:eastAsia="Times New Roman" w:cs="Arial"/>
          <w:color w:val="000000" w:themeColor="text1"/>
          <w:lang w:eastAsia="pl-PL"/>
        </w:rPr>
        <w:t xml:space="preserve"> między OSD i PSE S.A.</w:t>
      </w:r>
      <w:r w:rsidRPr="00341D51">
        <w:rPr>
          <w:rFonts w:eastAsia="Times New Roman" w:cs="Arial"/>
          <w:color w:val="000000" w:themeColor="text1"/>
          <w:lang w:eastAsia="pl-PL"/>
        </w:rPr>
        <w:t>, na podstawie zapisów Rozporządzenia Komisji (UE) 2016/</w:t>
      </w:r>
      <w:r w:rsidR="00C31AEF" w:rsidRPr="00341D51">
        <w:rPr>
          <w:rFonts w:eastAsia="Times New Roman" w:cs="Arial"/>
          <w:color w:val="000000" w:themeColor="text1"/>
          <w:lang w:eastAsia="pl-PL"/>
        </w:rPr>
        <w:t xml:space="preserve">1388 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z dnia </w:t>
      </w:r>
      <w:r w:rsidR="00C31AEF" w:rsidRPr="00341D51">
        <w:rPr>
          <w:rFonts w:eastAsia="Times New Roman" w:cs="Arial"/>
          <w:color w:val="000000" w:themeColor="text1"/>
          <w:lang w:eastAsia="pl-PL"/>
        </w:rPr>
        <w:t xml:space="preserve">17 sierpnia 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2016 r. (zwany dalej NC </w:t>
      </w:r>
      <w:r w:rsidR="00C31AEF" w:rsidRPr="00341D51">
        <w:rPr>
          <w:rFonts w:eastAsia="Times New Roman" w:cs="Arial"/>
          <w:color w:val="000000" w:themeColor="text1"/>
          <w:lang w:eastAsia="pl-PL"/>
        </w:rPr>
        <w:t>DC</w:t>
      </w:r>
      <w:r w:rsidRPr="00341D51">
        <w:rPr>
          <w:rFonts w:eastAsia="Times New Roman" w:cs="Arial"/>
          <w:color w:val="000000" w:themeColor="text1"/>
          <w:lang w:eastAsia="pl-PL"/>
        </w:rPr>
        <w:t xml:space="preserve">) oraz dokumentów związanych wynikających z zapisów NC </w:t>
      </w:r>
      <w:r w:rsidR="00C31AEF" w:rsidRPr="00341D51">
        <w:rPr>
          <w:rFonts w:eastAsia="Times New Roman" w:cs="Arial"/>
          <w:color w:val="000000" w:themeColor="text1"/>
          <w:lang w:eastAsia="pl-PL"/>
        </w:rPr>
        <w:t>DC</w:t>
      </w:r>
      <w:r w:rsidRPr="00341D51">
        <w:rPr>
          <w:rFonts w:eastAsia="Times New Roman" w:cs="Arial"/>
          <w:color w:val="000000" w:themeColor="text1"/>
          <w:lang w:eastAsia="pl-PL"/>
        </w:rPr>
        <w:t>.</w:t>
      </w:r>
    </w:p>
    <w:p w14:paraId="6ECAB5E2" w14:textId="56CC7CFC" w:rsidR="00703850" w:rsidRPr="00341D51" w:rsidRDefault="00703850" w:rsidP="00E0726D">
      <w:pPr>
        <w:pStyle w:val="LO-normal1"/>
        <w:ind w:left="720"/>
        <w:jc w:val="both"/>
        <w:rPr>
          <w:rFonts w:cs="Arial"/>
          <w:color w:val="000000" w:themeColor="text1"/>
        </w:rPr>
      </w:pPr>
    </w:p>
    <w:p w14:paraId="24288A7C" w14:textId="46F2CCB2" w:rsidR="004F706F" w:rsidRPr="00341D51" w:rsidRDefault="004F706F" w:rsidP="00E0726D">
      <w:pPr>
        <w:pStyle w:val="Nagwek1"/>
        <w:jc w:val="both"/>
        <w:rPr>
          <w:color w:val="000000" w:themeColor="text1"/>
        </w:rPr>
      </w:pPr>
      <w:bookmarkStart w:id="2" w:name="_Toc4992966"/>
      <w:bookmarkStart w:id="3" w:name="_Toc14087673"/>
      <w:r w:rsidRPr="00341D51">
        <w:rPr>
          <w:color w:val="000000" w:themeColor="text1"/>
        </w:rPr>
        <w:t xml:space="preserve">Program ramowy testu zgodności w zakresie zdolności instalacji dystrybucyjnej przyłączonej do systemu przesyłowego do </w:t>
      </w:r>
      <w:bookmarkEnd w:id="2"/>
      <w:r w:rsidR="00102954" w:rsidRPr="00341D51">
        <w:rPr>
          <w:color w:val="000000" w:themeColor="text1"/>
        </w:rPr>
        <w:t>synchronizacji</w:t>
      </w:r>
      <w:bookmarkEnd w:id="3"/>
    </w:p>
    <w:p w14:paraId="63CDC001" w14:textId="7B7CCE4B" w:rsidR="007F6AA7" w:rsidRPr="00341D51" w:rsidRDefault="007F6AA7" w:rsidP="00E0726D">
      <w:pPr>
        <w:pStyle w:val="Nagwek2"/>
        <w:jc w:val="both"/>
        <w:rPr>
          <w:color w:val="000000" w:themeColor="text1"/>
        </w:rPr>
      </w:pPr>
      <w:bookmarkStart w:id="4" w:name="_Toc14087674"/>
      <w:r w:rsidRPr="00341D51">
        <w:rPr>
          <w:color w:val="000000" w:themeColor="text1"/>
        </w:rPr>
        <w:t>Zakres stosowania</w:t>
      </w:r>
      <w:bookmarkEnd w:id="4"/>
    </w:p>
    <w:p w14:paraId="7E030CDA" w14:textId="52EADC56" w:rsidR="007F6AA7" w:rsidRPr="00341D51" w:rsidRDefault="009B39A0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>Test potwierdzający zdolność do</w:t>
      </w:r>
      <w:r w:rsidR="00337D80" w:rsidRPr="00341D51">
        <w:rPr>
          <w:color w:val="000000" w:themeColor="text1"/>
        </w:rPr>
        <w:t xml:space="preserve"> synchronizacji dotyczy urządzeń synchronizacji: synchronizatora </w:t>
      </w:r>
      <w:r w:rsidR="00E0726D" w:rsidRPr="00341D51">
        <w:rPr>
          <w:color w:val="000000" w:themeColor="text1"/>
        </w:rPr>
        <w:br/>
      </w:r>
      <w:r w:rsidR="00337D80" w:rsidRPr="00341D51">
        <w:rPr>
          <w:color w:val="000000" w:themeColor="text1"/>
        </w:rPr>
        <w:t xml:space="preserve">lub funkcji </w:t>
      </w:r>
      <w:proofErr w:type="spellStart"/>
      <w:r w:rsidR="00337D80" w:rsidRPr="00341D51">
        <w:rPr>
          <w:color w:val="000000" w:themeColor="text1"/>
        </w:rPr>
        <w:t>synchro-check’a</w:t>
      </w:r>
      <w:proofErr w:type="spellEnd"/>
      <w:r w:rsidR="00337D80" w:rsidRPr="00341D51">
        <w:rPr>
          <w:color w:val="000000" w:themeColor="text1"/>
        </w:rPr>
        <w:t xml:space="preserve"> </w:t>
      </w:r>
      <w:r w:rsidR="000B3C52" w:rsidRPr="00341D51">
        <w:rPr>
          <w:color w:val="000000" w:themeColor="text1"/>
        </w:rPr>
        <w:t xml:space="preserve">zabezpieczenia </w:t>
      </w:r>
      <w:r w:rsidR="00337D80" w:rsidRPr="00341D51">
        <w:rPr>
          <w:color w:val="000000" w:themeColor="text1"/>
        </w:rPr>
        <w:t xml:space="preserve">odległościowego realizującego zdolność wymaganą </w:t>
      </w:r>
      <w:r w:rsidR="00E0726D" w:rsidRPr="00341D51">
        <w:rPr>
          <w:color w:val="000000" w:themeColor="text1"/>
        </w:rPr>
        <w:br/>
      </w:r>
      <w:r w:rsidR="00337D80" w:rsidRPr="00341D51">
        <w:rPr>
          <w:color w:val="000000" w:themeColor="text1"/>
        </w:rPr>
        <w:t>art. 19 ust.</w:t>
      </w:r>
      <w:r w:rsidRPr="00341D51">
        <w:rPr>
          <w:color w:val="000000" w:themeColor="text1"/>
        </w:rPr>
        <w:t xml:space="preserve"> </w:t>
      </w:r>
      <w:r w:rsidR="00337D80" w:rsidRPr="00341D51">
        <w:rPr>
          <w:color w:val="000000" w:themeColor="text1"/>
        </w:rPr>
        <w:t>4 lit. b)</w:t>
      </w:r>
      <w:r w:rsidR="0082037B" w:rsidRPr="00341D51">
        <w:rPr>
          <w:color w:val="000000" w:themeColor="text1"/>
        </w:rPr>
        <w:t xml:space="preserve"> NC DC</w:t>
      </w:r>
      <w:r w:rsidR="00337D80" w:rsidRPr="00341D51">
        <w:rPr>
          <w:color w:val="000000" w:themeColor="text1"/>
        </w:rPr>
        <w:t xml:space="preserve"> wraz z aparaturą pierwotną instalacji dystrybucyjnej danego </w:t>
      </w:r>
      <w:proofErr w:type="spellStart"/>
      <w:r w:rsidR="00337D80" w:rsidRPr="00341D51">
        <w:rPr>
          <w:color w:val="000000" w:themeColor="text1"/>
        </w:rPr>
        <w:t>OSD</w:t>
      </w:r>
      <w:r w:rsidR="00102954" w:rsidRPr="00341D51">
        <w:rPr>
          <w:color w:val="000000" w:themeColor="text1"/>
        </w:rPr>
        <w:t>p</w:t>
      </w:r>
      <w:proofErr w:type="spellEnd"/>
      <w:r w:rsidR="00337D80" w:rsidRPr="00341D51">
        <w:rPr>
          <w:color w:val="000000" w:themeColor="text1"/>
        </w:rPr>
        <w:t xml:space="preserve">. </w:t>
      </w:r>
      <w:r w:rsidR="00D22970" w:rsidRPr="00341D51">
        <w:rPr>
          <w:color w:val="000000" w:themeColor="text1"/>
        </w:rPr>
        <w:t xml:space="preserve">Test wykonywany jest przez </w:t>
      </w:r>
      <w:proofErr w:type="spellStart"/>
      <w:r w:rsidR="00102954" w:rsidRPr="00341D51">
        <w:rPr>
          <w:color w:val="000000" w:themeColor="text1"/>
        </w:rPr>
        <w:t>OSDp</w:t>
      </w:r>
      <w:proofErr w:type="spellEnd"/>
      <w:r w:rsidR="00102954" w:rsidRPr="00341D51">
        <w:rPr>
          <w:color w:val="000000" w:themeColor="text1"/>
        </w:rPr>
        <w:t>.</w:t>
      </w:r>
    </w:p>
    <w:p w14:paraId="6F41E510" w14:textId="674B71ED" w:rsidR="004F706F" w:rsidRPr="00341D51" w:rsidRDefault="004F706F" w:rsidP="00E0726D">
      <w:pPr>
        <w:pStyle w:val="Nagwek2"/>
        <w:jc w:val="both"/>
        <w:rPr>
          <w:color w:val="000000" w:themeColor="text1"/>
        </w:rPr>
      </w:pPr>
      <w:bookmarkStart w:id="5" w:name="_Toc14087675"/>
      <w:r w:rsidRPr="00341D51">
        <w:rPr>
          <w:color w:val="000000" w:themeColor="text1"/>
        </w:rPr>
        <w:t>Cel i zakres testu</w:t>
      </w:r>
      <w:bookmarkEnd w:id="5"/>
    </w:p>
    <w:p w14:paraId="4255881F" w14:textId="1B284E4A" w:rsidR="004F706F" w:rsidRPr="00341D51" w:rsidRDefault="004F706F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 xml:space="preserve">Program ramowy testu został opracowany zgodnie z zapisami art. 37 </w:t>
      </w:r>
      <w:r w:rsidR="00294D63" w:rsidRPr="00341D51">
        <w:rPr>
          <w:color w:val="000000" w:themeColor="text1"/>
        </w:rPr>
        <w:t xml:space="preserve">ust. </w:t>
      </w:r>
      <w:r w:rsidR="00102954" w:rsidRPr="00341D51">
        <w:rPr>
          <w:color w:val="000000" w:themeColor="text1"/>
        </w:rPr>
        <w:t xml:space="preserve">3 </w:t>
      </w:r>
      <w:r w:rsidRPr="00341D51">
        <w:rPr>
          <w:color w:val="000000" w:themeColor="text1"/>
        </w:rPr>
        <w:t>NC DC</w:t>
      </w:r>
      <w:r w:rsidR="00102954" w:rsidRPr="00341D51">
        <w:rPr>
          <w:color w:val="000000" w:themeColor="text1"/>
        </w:rPr>
        <w:t>.</w:t>
      </w:r>
      <w:r w:rsidRPr="00341D51">
        <w:rPr>
          <w:color w:val="000000" w:themeColor="text1"/>
        </w:rPr>
        <w:t xml:space="preserve"> </w:t>
      </w:r>
    </w:p>
    <w:p w14:paraId="3A2B302B" w14:textId="3B64FCFE" w:rsidR="00102954" w:rsidRPr="00341D51" w:rsidRDefault="004F706F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 xml:space="preserve">Celem testu jest potwierdzenie zdolności technicznej instalacji dystrybucyjnej przyłączonej do systemu przesyłowego do </w:t>
      </w:r>
      <w:r w:rsidR="00102954" w:rsidRPr="00341D51">
        <w:rPr>
          <w:color w:val="000000" w:themeColor="text1"/>
        </w:rPr>
        <w:t>prawidłowej synchronizacji w zakresie:</w:t>
      </w:r>
    </w:p>
    <w:p w14:paraId="73F5D457" w14:textId="77777777" w:rsidR="008E3969" w:rsidRPr="00341D51" w:rsidRDefault="00102954" w:rsidP="00E0726D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Zdolności aparatury pierwotnej do pracy w zakresach częstotliwości określonych art. 12</w:t>
      </w:r>
      <w:r w:rsidR="008E3969" w:rsidRPr="00341D51">
        <w:rPr>
          <w:color w:val="000000" w:themeColor="text1"/>
        </w:rPr>
        <w:t xml:space="preserve"> ust. 1 NC DC,</w:t>
      </w:r>
    </w:p>
    <w:p w14:paraId="2F9DCEA0" w14:textId="162AE28C" w:rsidR="00EF2478" w:rsidRPr="00341D51" w:rsidRDefault="008E3969" w:rsidP="00E0726D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Zdolności do</w:t>
      </w:r>
      <w:r w:rsidR="0082037B" w:rsidRPr="00341D51">
        <w:rPr>
          <w:color w:val="000000" w:themeColor="text1"/>
        </w:rPr>
        <w:t xml:space="preserve"> załączenia z kontrolą synchronizmu</w:t>
      </w:r>
      <w:r w:rsidRPr="00341D51">
        <w:rPr>
          <w:color w:val="000000" w:themeColor="text1"/>
        </w:rPr>
        <w:t xml:space="preserve"> realizowanej przez urządzenia synchronizacji</w:t>
      </w:r>
      <w:r w:rsidR="00102954" w:rsidRPr="00341D51">
        <w:rPr>
          <w:color w:val="000000" w:themeColor="text1"/>
        </w:rPr>
        <w:t>.</w:t>
      </w:r>
    </w:p>
    <w:p w14:paraId="3C7205FB" w14:textId="60E1AFD8" w:rsidR="004F706F" w:rsidRPr="00341D51" w:rsidRDefault="004F706F" w:rsidP="00E0726D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</w:p>
    <w:p w14:paraId="2666F5FC" w14:textId="722A29BE" w:rsidR="00DE06D8" w:rsidRPr="00341D51" w:rsidRDefault="00DE06D8" w:rsidP="00E0726D">
      <w:pPr>
        <w:pStyle w:val="Nagwek3"/>
        <w:jc w:val="both"/>
        <w:rPr>
          <w:color w:val="000000" w:themeColor="text1"/>
        </w:rPr>
      </w:pPr>
      <w:bookmarkStart w:id="6" w:name="_Toc14087676"/>
      <w:r w:rsidRPr="00341D51">
        <w:rPr>
          <w:color w:val="000000" w:themeColor="text1"/>
        </w:rPr>
        <w:t>Warunki wstępne</w:t>
      </w:r>
      <w:r w:rsidR="008A30ED" w:rsidRPr="00341D51">
        <w:rPr>
          <w:color w:val="000000" w:themeColor="text1"/>
        </w:rPr>
        <w:t xml:space="preserve"> testu</w:t>
      </w:r>
      <w:bookmarkEnd w:id="6"/>
    </w:p>
    <w:p w14:paraId="56F79A7D" w14:textId="030CD6BA" w:rsidR="00DE06D8" w:rsidRPr="00341D51" w:rsidRDefault="00DE06D8" w:rsidP="00E0726D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>Badania typu i wyrobu oraz deklaracj</w:t>
      </w:r>
      <w:r w:rsidR="00065C1A" w:rsidRPr="00341D51">
        <w:rPr>
          <w:rFonts w:eastAsiaTheme="minorEastAsia" w:cstheme="minorBidi"/>
          <w:color w:val="000000" w:themeColor="text1"/>
          <w:sz w:val="22"/>
        </w:rPr>
        <w:t>e</w:t>
      </w:r>
      <w:r w:rsidRPr="00341D51">
        <w:rPr>
          <w:rFonts w:eastAsiaTheme="minorEastAsia" w:cstheme="minorBidi"/>
          <w:color w:val="000000" w:themeColor="text1"/>
          <w:sz w:val="22"/>
        </w:rPr>
        <w:t xml:space="preserve"> zgodności urządzeń </w:t>
      </w:r>
      <w:r w:rsidR="00065C1A" w:rsidRPr="00341D51">
        <w:rPr>
          <w:rFonts w:eastAsiaTheme="minorEastAsia" w:cstheme="minorBidi"/>
          <w:color w:val="000000" w:themeColor="text1"/>
          <w:sz w:val="22"/>
        </w:rPr>
        <w:t>aparatury pierwotnej</w:t>
      </w:r>
      <w:r w:rsidR="008E3969" w:rsidRPr="00341D51">
        <w:rPr>
          <w:rFonts w:eastAsiaTheme="minorEastAsia" w:cstheme="minorBidi"/>
          <w:color w:val="000000" w:themeColor="text1"/>
          <w:sz w:val="22"/>
        </w:rPr>
        <w:t xml:space="preserve"> </w:t>
      </w:r>
      <w:r w:rsidR="00065C1A" w:rsidRPr="00341D51">
        <w:rPr>
          <w:rFonts w:eastAsiaTheme="minorEastAsia" w:cstheme="minorBidi"/>
          <w:color w:val="000000" w:themeColor="text1"/>
          <w:sz w:val="22"/>
        </w:rPr>
        <w:t>potwierdzające zdolność do zachowania połączenia z siecią i pracy w zakresach częstotliwości i okresach określonych w art. 12 ust. 1 NC DC.</w:t>
      </w:r>
    </w:p>
    <w:p w14:paraId="7C870BDD" w14:textId="4A9E44F8" w:rsidR="00065C1A" w:rsidRPr="00341D51" w:rsidRDefault="00065C1A" w:rsidP="00E0726D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 xml:space="preserve">Badania typu i wyrobu oraz deklaracje zgodności urządzeń synchronizacji potwierdzające zdolność </w:t>
      </w:r>
      <w:r w:rsidR="00E0726D" w:rsidRPr="00341D51">
        <w:rPr>
          <w:rFonts w:eastAsiaTheme="minorEastAsia" w:cstheme="minorBidi"/>
          <w:color w:val="000000" w:themeColor="text1"/>
          <w:sz w:val="22"/>
        </w:rPr>
        <w:br/>
      </w:r>
      <w:r w:rsidRPr="00341D51">
        <w:rPr>
          <w:rFonts w:eastAsiaTheme="minorEastAsia" w:cstheme="minorBidi"/>
          <w:color w:val="000000" w:themeColor="text1"/>
          <w:sz w:val="22"/>
        </w:rPr>
        <w:t>do pracy w zakresach częstotliwości i okresach określonych w art. 12 ust. 1 NC DC.</w:t>
      </w:r>
    </w:p>
    <w:p w14:paraId="22BF59F7" w14:textId="6AA31D67" w:rsidR="005F7F84" w:rsidRPr="00341D51" w:rsidRDefault="005F7F84" w:rsidP="00E0726D">
      <w:pPr>
        <w:pStyle w:val="Nagwek3"/>
        <w:jc w:val="both"/>
        <w:rPr>
          <w:color w:val="000000" w:themeColor="text1"/>
        </w:rPr>
      </w:pPr>
      <w:bookmarkStart w:id="7" w:name="_Toc14087677"/>
      <w:r w:rsidRPr="00341D51">
        <w:rPr>
          <w:color w:val="000000" w:themeColor="text1"/>
        </w:rPr>
        <w:t>Testy</w:t>
      </w:r>
      <w:bookmarkEnd w:id="7"/>
      <w:r w:rsidRPr="00341D51">
        <w:rPr>
          <w:color w:val="000000" w:themeColor="text1"/>
        </w:rPr>
        <w:t xml:space="preserve"> </w:t>
      </w:r>
    </w:p>
    <w:p w14:paraId="59E4A6E6" w14:textId="2A80F561" w:rsidR="00EB0F3F" w:rsidRPr="00341D51" w:rsidRDefault="00EB0F3F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>Sprawdzenie funkcjonalne urządzeń synchronizacji</w:t>
      </w:r>
      <w:r w:rsidR="006E4278" w:rsidRPr="00341D51">
        <w:rPr>
          <w:color w:val="000000" w:themeColor="text1"/>
        </w:rPr>
        <w:t>, z wykorzystaniem testera zabezpieczeń,</w:t>
      </w:r>
      <w:r w:rsidRPr="00341D51">
        <w:rPr>
          <w:color w:val="000000" w:themeColor="text1"/>
        </w:rPr>
        <w:t xml:space="preserve"> </w:t>
      </w:r>
      <w:r w:rsidR="00E0726D" w:rsidRPr="00341D51">
        <w:rPr>
          <w:color w:val="000000" w:themeColor="text1"/>
        </w:rPr>
        <w:br/>
      </w:r>
      <w:r w:rsidRPr="00341D51">
        <w:rPr>
          <w:color w:val="000000" w:themeColor="text1"/>
        </w:rPr>
        <w:t>n</w:t>
      </w:r>
      <w:r w:rsidR="00065C1A" w:rsidRPr="00341D51">
        <w:rPr>
          <w:color w:val="000000" w:themeColor="text1"/>
        </w:rPr>
        <w:t>a podstawie podanych przez OSP nastaw</w:t>
      </w:r>
      <w:r w:rsidRPr="00341D51">
        <w:rPr>
          <w:color w:val="000000" w:themeColor="text1"/>
        </w:rPr>
        <w:t xml:space="preserve"> z uwzględnieniem</w:t>
      </w:r>
      <w:r w:rsidR="00712C67" w:rsidRPr="00341D51">
        <w:rPr>
          <w:color w:val="000000" w:themeColor="text1"/>
        </w:rPr>
        <w:t xml:space="preserve"> parametrów</w:t>
      </w:r>
      <w:r w:rsidRPr="00341D51">
        <w:rPr>
          <w:color w:val="000000" w:themeColor="text1"/>
        </w:rPr>
        <w:t>:</w:t>
      </w:r>
    </w:p>
    <w:p w14:paraId="40CDDBB0" w14:textId="15DE2625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napięcia,</w:t>
      </w:r>
    </w:p>
    <w:p w14:paraId="6C5F3C86" w14:textId="066A0B33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częstotliwości,</w:t>
      </w:r>
    </w:p>
    <w:p w14:paraId="51226EB1" w14:textId="65D59F1D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zakresu kąta fazowego,</w:t>
      </w:r>
    </w:p>
    <w:p w14:paraId="1C771AEB" w14:textId="1E11121C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odchyleni</w:t>
      </w:r>
      <w:r w:rsidR="0082037B" w:rsidRPr="00341D51">
        <w:rPr>
          <w:color w:val="000000" w:themeColor="text1"/>
        </w:rPr>
        <w:t>a</w:t>
      </w:r>
      <w:r w:rsidRPr="00341D51">
        <w:rPr>
          <w:color w:val="000000" w:themeColor="text1"/>
        </w:rPr>
        <w:t xml:space="preserve"> napięcia,</w:t>
      </w:r>
    </w:p>
    <w:p w14:paraId="30ACCF9E" w14:textId="0FF06EFA" w:rsidR="00EB0F3F" w:rsidRPr="00341D51" w:rsidRDefault="00EB0F3F" w:rsidP="00E0726D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odchyleni</w:t>
      </w:r>
      <w:r w:rsidR="0082037B" w:rsidRPr="00341D51">
        <w:rPr>
          <w:color w:val="000000" w:themeColor="text1"/>
        </w:rPr>
        <w:t>a</w:t>
      </w:r>
      <w:r w:rsidRPr="00341D51">
        <w:rPr>
          <w:color w:val="000000" w:themeColor="text1"/>
        </w:rPr>
        <w:t xml:space="preserve"> częstotliwości,</w:t>
      </w:r>
    </w:p>
    <w:p w14:paraId="0EABDA0E" w14:textId="0F8EDEA8" w:rsidR="005F7F84" w:rsidRPr="00341D51" w:rsidRDefault="00065C1A" w:rsidP="00E0726D">
      <w:pPr>
        <w:jc w:val="both"/>
        <w:rPr>
          <w:color w:val="000000" w:themeColor="text1"/>
        </w:rPr>
      </w:pPr>
      <w:r w:rsidRPr="00341D51">
        <w:rPr>
          <w:color w:val="000000" w:themeColor="text1"/>
        </w:rPr>
        <w:t>obejmuje:</w:t>
      </w:r>
    </w:p>
    <w:p w14:paraId="08DB6DEA" w14:textId="5D3364D1" w:rsidR="007A52A6" w:rsidRPr="00341D51" w:rsidRDefault="00EB0F3F" w:rsidP="00E0726D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lastRenderedPageBreak/>
        <w:t xml:space="preserve">układ synchronizacji w zakresie możliwości załączenia urządzeń instalacji dystrybucyjnej </w:t>
      </w:r>
      <w:proofErr w:type="spellStart"/>
      <w:r w:rsidRPr="00341D51">
        <w:rPr>
          <w:color w:val="000000" w:themeColor="text1"/>
        </w:rPr>
        <w:t>OSDp</w:t>
      </w:r>
      <w:proofErr w:type="spellEnd"/>
      <w:r w:rsidRPr="00341D51">
        <w:rPr>
          <w:color w:val="000000" w:themeColor="text1"/>
        </w:rPr>
        <w:t xml:space="preserve"> </w:t>
      </w:r>
      <w:r w:rsidR="00712C67" w:rsidRPr="00341D51">
        <w:rPr>
          <w:color w:val="000000" w:themeColor="text1"/>
        </w:rPr>
        <w:t xml:space="preserve">do </w:t>
      </w:r>
      <w:r w:rsidRPr="00341D51">
        <w:rPr>
          <w:color w:val="000000" w:themeColor="text1"/>
        </w:rPr>
        <w:t>sieci OSP,</w:t>
      </w:r>
    </w:p>
    <w:p w14:paraId="756C3C43" w14:textId="298D80E4" w:rsidR="00065C1A" w:rsidRPr="00341D51" w:rsidRDefault="00EB0F3F" w:rsidP="00E0726D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41D51">
        <w:rPr>
          <w:color w:val="000000" w:themeColor="text1"/>
        </w:rPr>
        <w:t>układ synchronizacji w zakresie blokowania</w:t>
      </w:r>
      <w:r w:rsidR="0082037B" w:rsidRPr="00341D51">
        <w:rPr>
          <w:color w:val="000000" w:themeColor="text1"/>
        </w:rPr>
        <w:t xml:space="preserve"> i</w:t>
      </w:r>
      <w:r w:rsidRPr="00341D51">
        <w:rPr>
          <w:color w:val="000000" w:themeColor="text1"/>
        </w:rPr>
        <w:t xml:space="preserve"> załączenia urządzeń instalacji dystrybucyjnej </w:t>
      </w:r>
      <w:proofErr w:type="spellStart"/>
      <w:r w:rsidRPr="00341D51">
        <w:rPr>
          <w:color w:val="000000" w:themeColor="text1"/>
        </w:rPr>
        <w:t>OSDp</w:t>
      </w:r>
      <w:proofErr w:type="spellEnd"/>
      <w:r w:rsidRPr="00341D51">
        <w:rPr>
          <w:color w:val="000000" w:themeColor="text1"/>
        </w:rPr>
        <w:t xml:space="preserve"> </w:t>
      </w:r>
      <w:r w:rsidR="00712C67" w:rsidRPr="00341D51">
        <w:rPr>
          <w:color w:val="000000" w:themeColor="text1"/>
        </w:rPr>
        <w:t xml:space="preserve">do </w:t>
      </w:r>
      <w:r w:rsidRPr="00341D51">
        <w:rPr>
          <w:color w:val="000000" w:themeColor="text1"/>
        </w:rPr>
        <w:t>sieci OSP</w:t>
      </w:r>
      <w:r w:rsidR="00712C67" w:rsidRPr="00341D51">
        <w:rPr>
          <w:color w:val="000000" w:themeColor="text1"/>
        </w:rPr>
        <w:t xml:space="preserve"> dla każdego</w:t>
      </w:r>
      <w:r w:rsidR="0082037B" w:rsidRPr="00341D51">
        <w:rPr>
          <w:color w:val="000000" w:themeColor="text1"/>
        </w:rPr>
        <w:t xml:space="preserve"> z</w:t>
      </w:r>
      <w:r w:rsidR="00712C67" w:rsidRPr="00341D51">
        <w:rPr>
          <w:color w:val="000000" w:themeColor="text1"/>
        </w:rPr>
        <w:t xml:space="preserve"> parametr</w:t>
      </w:r>
      <w:r w:rsidR="0082037B" w:rsidRPr="00341D51">
        <w:rPr>
          <w:color w:val="000000" w:themeColor="text1"/>
        </w:rPr>
        <w:t>ów: napięcia, częstotliwości i kąta fazowego</w:t>
      </w:r>
      <w:r w:rsidRPr="00341D51">
        <w:rPr>
          <w:color w:val="000000" w:themeColor="text1"/>
        </w:rPr>
        <w:t>.</w:t>
      </w:r>
    </w:p>
    <w:p w14:paraId="4BF9A0EB" w14:textId="77777777" w:rsidR="004A6F03" w:rsidRPr="00341D51" w:rsidRDefault="004A6F03" w:rsidP="00E0726D">
      <w:pPr>
        <w:pStyle w:val="Nagwek4"/>
        <w:numPr>
          <w:ilvl w:val="0"/>
          <w:numId w:val="0"/>
        </w:numPr>
        <w:jc w:val="both"/>
        <w:rPr>
          <w:color w:val="000000" w:themeColor="text1"/>
        </w:rPr>
      </w:pPr>
    </w:p>
    <w:p w14:paraId="48E7BE9C" w14:textId="67FC9DF3" w:rsidR="003764AF" w:rsidRPr="00341D51" w:rsidRDefault="005F7F84" w:rsidP="00E0726D">
      <w:pPr>
        <w:pStyle w:val="Nagwek2"/>
        <w:jc w:val="both"/>
        <w:rPr>
          <w:color w:val="000000" w:themeColor="text1"/>
        </w:rPr>
      </w:pPr>
      <w:bookmarkStart w:id="8" w:name="_Toc14087678"/>
      <w:r w:rsidRPr="00341D51">
        <w:rPr>
          <w:color w:val="000000" w:themeColor="text1"/>
        </w:rPr>
        <w:t>Ocena testu</w:t>
      </w:r>
      <w:bookmarkEnd w:id="8"/>
    </w:p>
    <w:p w14:paraId="7505A274" w14:textId="6A551582" w:rsidR="00D22970" w:rsidRPr="00341D51" w:rsidRDefault="005F7F84" w:rsidP="00E0726D">
      <w:pPr>
        <w:pStyle w:val="Tre"/>
        <w:ind w:left="360"/>
        <w:jc w:val="both"/>
        <w:rPr>
          <w:color w:val="000000" w:themeColor="text1"/>
          <w:sz w:val="22"/>
        </w:rPr>
      </w:pPr>
      <w:r w:rsidRPr="00341D51">
        <w:rPr>
          <w:color w:val="000000" w:themeColor="text1"/>
          <w:sz w:val="22"/>
        </w:rPr>
        <w:t xml:space="preserve">Wynik testu uznaje się za </w:t>
      </w:r>
      <w:proofErr w:type="gramStart"/>
      <w:r w:rsidRPr="00341D51">
        <w:rPr>
          <w:color w:val="000000" w:themeColor="text1"/>
          <w:sz w:val="22"/>
        </w:rPr>
        <w:t>pozytywny</w:t>
      </w:r>
      <w:proofErr w:type="gramEnd"/>
      <w:r w:rsidR="0082037B" w:rsidRPr="00341D51">
        <w:rPr>
          <w:color w:val="000000" w:themeColor="text1"/>
          <w:sz w:val="22"/>
        </w:rPr>
        <w:t xml:space="preserve"> jeśli spełnione są </w:t>
      </w:r>
      <w:r w:rsidR="008A0301" w:rsidRPr="00341D51">
        <w:rPr>
          <w:color w:val="000000" w:themeColor="text1"/>
          <w:sz w:val="22"/>
        </w:rPr>
        <w:t>wszystkie poniższe warunki</w:t>
      </w:r>
      <w:r w:rsidR="00D22970" w:rsidRPr="00341D51">
        <w:rPr>
          <w:color w:val="000000" w:themeColor="text1"/>
          <w:sz w:val="22"/>
        </w:rPr>
        <w:t>:</w:t>
      </w:r>
    </w:p>
    <w:p w14:paraId="028A3A8C" w14:textId="1AC02973" w:rsidR="00D22970" w:rsidRPr="00341D51" w:rsidRDefault="00460988" w:rsidP="00E0726D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341D51">
        <w:rPr>
          <w:color w:val="000000" w:themeColor="text1"/>
          <w:sz w:val="22"/>
        </w:rPr>
        <w:t>badania typu i wyrobu oraz</w:t>
      </w:r>
      <w:r w:rsidR="00D22970" w:rsidRPr="00341D51">
        <w:rPr>
          <w:color w:val="000000" w:themeColor="text1"/>
          <w:sz w:val="22"/>
        </w:rPr>
        <w:t xml:space="preserve"> </w:t>
      </w:r>
      <w:r w:rsidR="007A52A6" w:rsidRPr="00341D51">
        <w:rPr>
          <w:color w:val="000000" w:themeColor="text1"/>
          <w:sz w:val="22"/>
        </w:rPr>
        <w:t xml:space="preserve">deklaracje zdolności aparatury pierwotnej potwierdzają </w:t>
      </w:r>
      <w:r w:rsidR="00E0726D" w:rsidRPr="00341D51">
        <w:rPr>
          <w:color w:val="000000" w:themeColor="text1"/>
          <w:sz w:val="22"/>
        </w:rPr>
        <w:br/>
      </w:r>
      <w:r w:rsidR="007A52A6" w:rsidRPr="00341D51">
        <w:rPr>
          <w:color w:val="000000" w:themeColor="text1"/>
          <w:sz w:val="22"/>
        </w:rPr>
        <w:t xml:space="preserve">ich zdolność do </w:t>
      </w:r>
      <w:r w:rsidR="007A52A6" w:rsidRPr="00341D51">
        <w:rPr>
          <w:rFonts w:eastAsiaTheme="minorEastAsia" w:cstheme="minorBidi"/>
          <w:color w:val="000000" w:themeColor="text1"/>
          <w:sz w:val="22"/>
        </w:rPr>
        <w:t xml:space="preserve">zachowania połączenia z siecią i pracy w zakresach częstotliwości </w:t>
      </w:r>
      <w:r w:rsidR="00E0726D" w:rsidRPr="00341D51">
        <w:rPr>
          <w:rFonts w:eastAsiaTheme="minorEastAsia" w:cstheme="minorBidi"/>
          <w:color w:val="000000" w:themeColor="text1"/>
          <w:sz w:val="22"/>
        </w:rPr>
        <w:br/>
      </w:r>
      <w:r w:rsidR="007A52A6" w:rsidRPr="00341D51">
        <w:rPr>
          <w:rFonts w:eastAsiaTheme="minorEastAsia" w:cstheme="minorBidi"/>
          <w:color w:val="000000" w:themeColor="text1"/>
          <w:sz w:val="22"/>
        </w:rPr>
        <w:t>i okresach określonych w art. 12 ust. 1 NC DC</w:t>
      </w:r>
      <w:r w:rsidR="007A52A6" w:rsidRPr="00341D51">
        <w:rPr>
          <w:color w:val="000000" w:themeColor="text1"/>
          <w:sz w:val="22"/>
        </w:rPr>
        <w:t>,</w:t>
      </w:r>
    </w:p>
    <w:p w14:paraId="2D841428" w14:textId="77777777" w:rsidR="008A0301" w:rsidRPr="00341D51" w:rsidRDefault="007A52A6" w:rsidP="00E0726D">
      <w:pPr>
        <w:pStyle w:val="Tre"/>
        <w:numPr>
          <w:ilvl w:val="0"/>
          <w:numId w:val="15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>badania typu i wyrobu oraz deklaracje zgodności urządzeń synchronizacji potwierdzają zdolność do pracy w zakresach częstotliwości i okresach określonych w art. 12 ust. 1 NC DC</w:t>
      </w:r>
      <w:r w:rsidRPr="00341D51">
        <w:rPr>
          <w:color w:val="000000" w:themeColor="text1"/>
          <w:sz w:val="22"/>
        </w:rPr>
        <w:t xml:space="preserve"> </w:t>
      </w:r>
    </w:p>
    <w:p w14:paraId="650EF953" w14:textId="0BA75567" w:rsidR="00712C67" w:rsidRPr="00341D51" w:rsidRDefault="00712C67" w:rsidP="00E0726D">
      <w:pPr>
        <w:pStyle w:val="Tre"/>
        <w:numPr>
          <w:ilvl w:val="0"/>
          <w:numId w:val="15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 xml:space="preserve">urządzenia synchronizacji przeszły z wynikiem pozytywnym sprawdzenie prawidłowości funkcjonowania układu synchronizacji w zakresie możliwości załączenia urządzeń instalacji dystrybucyjnej </w:t>
      </w:r>
      <w:proofErr w:type="spellStart"/>
      <w:r w:rsidRPr="00341D51">
        <w:rPr>
          <w:rFonts w:eastAsiaTheme="minorEastAsia" w:cstheme="minorBidi"/>
          <w:color w:val="000000" w:themeColor="text1"/>
          <w:sz w:val="22"/>
        </w:rPr>
        <w:t>OSDp</w:t>
      </w:r>
      <w:proofErr w:type="spellEnd"/>
      <w:r w:rsidRPr="00341D51">
        <w:rPr>
          <w:rFonts w:eastAsiaTheme="minorEastAsia" w:cstheme="minorBidi"/>
          <w:color w:val="000000" w:themeColor="text1"/>
          <w:sz w:val="22"/>
        </w:rPr>
        <w:t xml:space="preserve"> do sieci OSP,</w:t>
      </w:r>
    </w:p>
    <w:p w14:paraId="1D541DA2" w14:textId="5D9A832E" w:rsidR="00712C67" w:rsidRPr="00341D51" w:rsidRDefault="00712C67" w:rsidP="00E0726D">
      <w:pPr>
        <w:pStyle w:val="Tre"/>
        <w:numPr>
          <w:ilvl w:val="0"/>
          <w:numId w:val="15"/>
        </w:numPr>
        <w:jc w:val="both"/>
        <w:rPr>
          <w:rFonts w:eastAsiaTheme="minorEastAsia" w:cstheme="minorBidi"/>
          <w:color w:val="000000" w:themeColor="text1"/>
          <w:sz w:val="22"/>
        </w:rPr>
      </w:pPr>
      <w:r w:rsidRPr="00341D51">
        <w:rPr>
          <w:rFonts w:eastAsiaTheme="minorEastAsia" w:cstheme="minorBidi"/>
          <w:color w:val="000000" w:themeColor="text1"/>
          <w:sz w:val="22"/>
        </w:rPr>
        <w:t xml:space="preserve">urządzenia synchronizacji przeszły z wynikiem pozytywnym sprawdzenie prawidłowości funkcjonowania układu synchronizacji w zakresie możliwości blokowania załączenia urządzeń instalacji dystrybucyjnej </w:t>
      </w:r>
      <w:proofErr w:type="spellStart"/>
      <w:r w:rsidRPr="00341D51">
        <w:rPr>
          <w:rFonts w:eastAsiaTheme="minorEastAsia" w:cstheme="minorBidi"/>
          <w:color w:val="000000" w:themeColor="text1"/>
          <w:sz w:val="22"/>
        </w:rPr>
        <w:t>OSDp</w:t>
      </w:r>
      <w:proofErr w:type="spellEnd"/>
      <w:r w:rsidRPr="00341D51">
        <w:rPr>
          <w:rFonts w:eastAsiaTheme="minorEastAsia" w:cstheme="minorBidi"/>
          <w:color w:val="000000" w:themeColor="text1"/>
          <w:sz w:val="22"/>
        </w:rPr>
        <w:t xml:space="preserve"> do sieci OSP.</w:t>
      </w:r>
    </w:p>
    <w:sectPr w:rsidR="00712C67" w:rsidRPr="00341D51" w:rsidSect="00E072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FDDCA" w14:textId="77777777" w:rsidR="00D222C7" w:rsidRDefault="00D222C7">
      <w:pPr>
        <w:spacing w:after="0" w:line="240" w:lineRule="auto"/>
      </w:pPr>
      <w:r>
        <w:separator/>
      </w:r>
    </w:p>
  </w:endnote>
  <w:endnote w:type="continuationSeparator" w:id="0">
    <w:p w14:paraId="3A9FAF30" w14:textId="77777777" w:rsidR="00D222C7" w:rsidRDefault="00D2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9" w:name="__UnoMark__8_1807911908" w:displacedByCustomXml="next"/>
  <w:bookmarkEnd w:id="9" w:displacedByCustomXml="next"/>
  <w:sdt>
    <w:sdtPr>
      <w:id w:val="6083193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7A0DC8" w14:textId="1A444D6E" w:rsidR="00341D51" w:rsidRDefault="00341D5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1E05A" w14:textId="11CBFEA9" w:rsidR="007A77CF" w:rsidRDefault="007A77CF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28814" w14:textId="77777777" w:rsidR="007A77CF" w:rsidRDefault="007A77CF">
    <w:pPr>
      <w:pStyle w:val="Stopka"/>
      <w:rPr>
        <w:rFonts w:cs="Arial"/>
        <w:color w:val="2E3192"/>
        <w:sz w:val="4"/>
        <w:szCs w:val="4"/>
      </w:rPr>
    </w:pPr>
  </w:p>
  <w:p w14:paraId="7ECB2418" w14:textId="276AEC5B" w:rsidR="007A77CF" w:rsidRDefault="007A7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DC750" w14:textId="77777777" w:rsidR="00D222C7" w:rsidRDefault="00D222C7">
      <w:pPr>
        <w:spacing w:after="0" w:line="240" w:lineRule="auto"/>
      </w:pPr>
      <w:r>
        <w:separator/>
      </w:r>
    </w:p>
  </w:footnote>
  <w:footnote w:type="continuationSeparator" w:id="0">
    <w:p w14:paraId="2853B551" w14:textId="77777777" w:rsidR="00D222C7" w:rsidRDefault="00D2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7A77CF" w:rsidRDefault="007A77C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0390BB43" w:rsidR="007A77CF" w:rsidRDefault="007A77CF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6CB5C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7203BCE" w:rsidR="007A77CF" w:rsidRDefault="007A77CF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7A77CF" w:rsidRDefault="007A77CF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07203BCE" w:rsidR="007A77CF" w:rsidRDefault="007A77CF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7A77CF" w:rsidRDefault="007A77CF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6" w15:restartNumberingAfterBreak="0">
    <w:nsid w:val="29596AC7"/>
    <w:multiLevelType w:val="hybridMultilevel"/>
    <w:tmpl w:val="452E6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B14B0E"/>
    <w:multiLevelType w:val="hybridMultilevel"/>
    <w:tmpl w:val="220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016B7"/>
    <w:multiLevelType w:val="hybridMultilevel"/>
    <w:tmpl w:val="42B69F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65715"/>
    <w:multiLevelType w:val="hybridMultilevel"/>
    <w:tmpl w:val="EC7870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3"/>
  </w:num>
  <w:num w:numId="12">
    <w:abstractNumId w:val="3"/>
  </w:num>
  <w:num w:numId="13">
    <w:abstractNumId w:val="4"/>
  </w:num>
  <w:num w:numId="14">
    <w:abstractNumId w:val="3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  <w:num w:numId="19">
    <w:abstractNumId w:val="12"/>
  </w:num>
  <w:num w:numId="2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43E"/>
    <w:rsid w:val="00004AE3"/>
    <w:rsid w:val="000066DD"/>
    <w:rsid w:val="00006C18"/>
    <w:rsid w:val="00010834"/>
    <w:rsid w:val="000157C8"/>
    <w:rsid w:val="000222B8"/>
    <w:rsid w:val="000251C8"/>
    <w:rsid w:val="00030D56"/>
    <w:rsid w:val="00032D5C"/>
    <w:rsid w:val="000512C9"/>
    <w:rsid w:val="00054F9F"/>
    <w:rsid w:val="00065C1A"/>
    <w:rsid w:val="00083B29"/>
    <w:rsid w:val="00084C51"/>
    <w:rsid w:val="000A6346"/>
    <w:rsid w:val="000B1CDB"/>
    <w:rsid w:val="000B3C52"/>
    <w:rsid w:val="000C0F72"/>
    <w:rsid w:val="000C1AA4"/>
    <w:rsid w:val="000C640B"/>
    <w:rsid w:val="000D1192"/>
    <w:rsid w:val="000D3A19"/>
    <w:rsid w:val="000D599F"/>
    <w:rsid w:val="000E3607"/>
    <w:rsid w:val="000F31A5"/>
    <w:rsid w:val="000F47A5"/>
    <w:rsid w:val="000F4EFC"/>
    <w:rsid w:val="000F529B"/>
    <w:rsid w:val="000F7147"/>
    <w:rsid w:val="000F7BA8"/>
    <w:rsid w:val="00102954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72053"/>
    <w:rsid w:val="00172EE6"/>
    <w:rsid w:val="00187A35"/>
    <w:rsid w:val="001A5041"/>
    <w:rsid w:val="001A6A2C"/>
    <w:rsid w:val="001C2DDB"/>
    <w:rsid w:val="001C55ED"/>
    <w:rsid w:val="001D71B4"/>
    <w:rsid w:val="001E43CC"/>
    <w:rsid w:val="002003D6"/>
    <w:rsid w:val="00206878"/>
    <w:rsid w:val="00216D88"/>
    <w:rsid w:val="002218A9"/>
    <w:rsid w:val="002231E3"/>
    <w:rsid w:val="00224D88"/>
    <w:rsid w:val="0023331A"/>
    <w:rsid w:val="002337FA"/>
    <w:rsid w:val="00240AD9"/>
    <w:rsid w:val="0024108C"/>
    <w:rsid w:val="002433B9"/>
    <w:rsid w:val="0024704E"/>
    <w:rsid w:val="00261F17"/>
    <w:rsid w:val="00266254"/>
    <w:rsid w:val="0028107D"/>
    <w:rsid w:val="00291510"/>
    <w:rsid w:val="00294D63"/>
    <w:rsid w:val="002A76B3"/>
    <w:rsid w:val="002B032A"/>
    <w:rsid w:val="002B21E5"/>
    <w:rsid w:val="002B3FCE"/>
    <w:rsid w:val="002C3D00"/>
    <w:rsid w:val="002E2AA4"/>
    <w:rsid w:val="002F2313"/>
    <w:rsid w:val="002F58B1"/>
    <w:rsid w:val="003133D7"/>
    <w:rsid w:val="003165CD"/>
    <w:rsid w:val="0032148B"/>
    <w:rsid w:val="00337D80"/>
    <w:rsid w:val="00341D51"/>
    <w:rsid w:val="00342F83"/>
    <w:rsid w:val="0034494C"/>
    <w:rsid w:val="00345A7E"/>
    <w:rsid w:val="00345C7B"/>
    <w:rsid w:val="00352966"/>
    <w:rsid w:val="003575AA"/>
    <w:rsid w:val="00357796"/>
    <w:rsid w:val="003643C8"/>
    <w:rsid w:val="00370B35"/>
    <w:rsid w:val="003756D3"/>
    <w:rsid w:val="003764AF"/>
    <w:rsid w:val="00387AAA"/>
    <w:rsid w:val="00391242"/>
    <w:rsid w:val="003A0D64"/>
    <w:rsid w:val="003A3A58"/>
    <w:rsid w:val="003A3EC6"/>
    <w:rsid w:val="003B4196"/>
    <w:rsid w:val="003C5268"/>
    <w:rsid w:val="003C5B64"/>
    <w:rsid w:val="003D1C9E"/>
    <w:rsid w:val="003D40DD"/>
    <w:rsid w:val="003F10CD"/>
    <w:rsid w:val="00417701"/>
    <w:rsid w:val="00434AB4"/>
    <w:rsid w:val="00434BF8"/>
    <w:rsid w:val="0043655F"/>
    <w:rsid w:val="0044089D"/>
    <w:rsid w:val="004503EC"/>
    <w:rsid w:val="004522A7"/>
    <w:rsid w:val="004567E8"/>
    <w:rsid w:val="00460988"/>
    <w:rsid w:val="00470E77"/>
    <w:rsid w:val="00476B2D"/>
    <w:rsid w:val="00495870"/>
    <w:rsid w:val="00497169"/>
    <w:rsid w:val="004A50DE"/>
    <w:rsid w:val="004A6F03"/>
    <w:rsid w:val="004C08D2"/>
    <w:rsid w:val="004D3A47"/>
    <w:rsid w:val="004D64A1"/>
    <w:rsid w:val="004D7D6B"/>
    <w:rsid w:val="004E066E"/>
    <w:rsid w:val="004F356E"/>
    <w:rsid w:val="004F6A21"/>
    <w:rsid w:val="004F706F"/>
    <w:rsid w:val="005051B3"/>
    <w:rsid w:val="0051209F"/>
    <w:rsid w:val="0051446F"/>
    <w:rsid w:val="00524B19"/>
    <w:rsid w:val="005269EA"/>
    <w:rsid w:val="00536C22"/>
    <w:rsid w:val="00537936"/>
    <w:rsid w:val="00543B2F"/>
    <w:rsid w:val="0055216B"/>
    <w:rsid w:val="005539E3"/>
    <w:rsid w:val="00554A90"/>
    <w:rsid w:val="0056121D"/>
    <w:rsid w:val="00572528"/>
    <w:rsid w:val="005766CC"/>
    <w:rsid w:val="00584A25"/>
    <w:rsid w:val="00592613"/>
    <w:rsid w:val="005C0411"/>
    <w:rsid w:val="005C043A"/>
    <w:rsid w:val="005E04DB"/>
    <w:rsid w:val="005E6ECC"/>
    <w:rsid w:val="005E7AE5"/>
    <w:rsid w:val="005F090F"/>
    <w:rsid w:val="005F7F84"/>
    <w:rsid w:val="0060172B"/>
    <w:rsid w:val="00621EB5"/>
    <w:rsid w:val="006244C9"/>
    <w:rsid w:val="006244FF"/>
    <w:rsid w:val="006367DE"/>
    <w:rsid w:val="006372AB"/>
    <w:rsid w:val="00664644"/>
    <w:rsid w:val="006651D6"/>
    <w:rsid w:val="00674D02"/>
    <w:rsid w:val="00682728"/>
    <w:rsid w:val="00690F06"/>
    <w:rsid w:val="006B44DE"/>
    <w:rsid w:val="006C2A73"/>
    <w:rsid w:val="006C7563"/>
    <w:rsid w:val="006D388B"/>
    <w:rsid w:val="006D6B0D"/>
    <w:rsid w:val="006E4278"/>
    <w:rsid w:val="00703850"/>
    <w:rsid w:val="0070519E"/>
    <w:rsid w:val="00706AB0"/>
    <w:rsid w:val="00712C67"/>
    <w:rsid w:val="007139F3"/>
    <w:rsid w:val="00714F58"/>
    <w:rsid w:val="00726123"/>
    <w:rsid w:val="0074137C"/>
    <w:rsid w:val="00742897"/>
    <w:rsid w:val="00744996"/>
    <w:rsid w:val="00750725"/>
    <w:rsid w:val="00751BDF"/>
    <w:rsid w:val="00753946"/>
    <w:rsid w:val="0077397E"/>
    <w:rsid w:val="007806BF"/>
    <w:rsid w:val="0078129D"/>
    <w:rsid w:val="0078210B"/>
    <w:rsid w:val="00795F7E"/>
    <w:rsid w:val="007A1D9B"/>
    <w:rsid w:val="007A52A6"/>
    <w:rsid w:val="007A77CF"/>
    <w:rsid w:val="007B191E"/>
    <w:rsid w:val="007B3826"/>
    <w:rsid w:val="007B6983"/>
    <w:rsid w:val="007B79D0"/>
    <w:rsid w:val="007C04AC"/>
    <w:rsid w:val="007C1CA6"/>
    <w:rsid w:val="007C4AE2"/>
    <w:rsid w:val="007C4FB4"/>
    <w:rsid w:val="007D14EE"/>
    <w:rsid w:val="007F1465"/>
    <w:rsid w:val="007F6AA7"/>
    <w:rsid w:val="008004DA"/>
    <w:rsid w:val="00801994"/>
    <w:rsid w:val="0082037B"/>
    <w:rsid w:val="00827448"/>
    <w:rsid w:val="00874638"/>
    <w:rsid w:val="00876EB5"/>
    <w:rsid w:val="00886CBA"/>
    <w:rsid w:val="008A0301"/>
    <w:rsid w:val="008A30ED"/>
    <w:rsid w:val="008C0D5E"/>
    <w:rsid w:val="008C650B"/>
    <w:rsid w:val="008D5CA6"/>
    <w:rsid w:val="008D63F5"/>
    <w:rsid w:val="008E3969"/>
    <w:rsid w:val="008E701F"/>
    <w:rsid w:val="008F29D7"/>
    <w:rsid w:val="008F7A62"/>
    <w:rsid w:val="00900642"/>
    <w:rsid w:val="00924046"/>
    <w:rsid w:val="00925268"/>
    <w:rsid w:val="00934BD9"/>
    <w:rsid w:val="009445E8"/>
    <w:rsid w:val="009548C5"/>
    <w:rsid w:val="00954B5B"/>
    <w:rsid w:val="00964F1B"/>
    <w:rsid w:val="00967844"/>
    <w:rsid w:val="00987A4A"/>
    <w:rsid w:val="00991C81"/>
    <w:rsid w:val="009A15CE"/>
    <w:rsid w:val="009A57F4"/>
    <w:rsid w:val="009A653C"/>
    <w:rsid w:val="009B1D18"/>
    <w:rsid w:val="009B39A0"/>
    <w:rsid w:val="009B57FD"/>
    <w:rsid w:val="009C74B5"/>
    <w:rsid w:val="009D71D0"/>
    <w:rsid w:val="009E447E"/>
    <w:rsid w:val="009E67D1"/>
    <w:rsid w:val="009F1D99"/>
    <w:rsid w:val="009F5E1F"/>
    <w:rsid w:val="009F7DA8"/>
    <w:rsid w:val="00A024A3"/>
    <w:rsid w:val="00A1161C"/>
    <w:rsid w:val="00A118E8"/>
    <w:rsid w:val="00A14D7A"/>
    <w:rsid w:val="00A308EE"/>
    <w:rsid w:val="00A35136"/>
    <w:rsid w:val="00A37941"/>
    <w:rsid w:val="00A42C75"/>
    <w:rsid w:val="00A67948"/>
    <w:rsid w:val="00A74DFE"/>
    <w:rsid w:val="00A76E27"/>
    <w:rsid w:val="00A82A31"/>
    <w:rsid w:val="00A85E67"/>
    <w:rsid w:val="00A97BB4"/>
    <w:rsid w:val="00AA060E"/>
    <w:rsid w:val="00AA47F9"/>
    <w:rsid w:val="00AA58F8"/>
    <w:rsid w:val="00AB2CAE"/>
    <w:rsid w:val="00AB585B"/>
    <w:rsid w:val="00AB791B"/>
    <w:rsid w:val="00AC15CD"/>
    <w:rsid w:val="00AC5A2F"/>
    <w:rsid w:val="00AD4D1C"/>
    <w:rsid w:val="00AE08CF"/>
    <w:rsid w:val="00AE148A"/>
    <w:rsid w:val="00AF318D"/>
    <w:rsid w:val="00AF321B"/>
    <w:rsid w:val="00AF7C66"/>
    <w:rsid w:val="00B0678C"/>
    <w:rsid w:val="00B11CE9"/>
    <w:rsid w:val="00B236C7"/>
    <w:rsid w:val="00B334D7"/>
    <w:rsid w:val="00B41120"/>
    <w:rsid w:val="00B42EAA"/>
    <w:rsid w:val="00B7012C"/>
    <w:rsid w:val="00B71235"/>
    <w:rsid w:val="00B71CB5"/>
    <w:rsid w:val="00B73596"/>
    <w:rsid w:val="00B747A2"/>
    <w:rsid w:val="00B76698"/>
    <w:rsid w:val="00B83BCF"/>
    <w:rsid w:val="00B878F0"/>
    <w:rsid w:val="00B93569"/>
    <w:rsid w:val="00B9364B"/>
    <w:rsid w:val="00B94362"/>
    <w:rsid w:val="00BA1733"/>
    <w:rsid w:val="00BB36B4"/>
    <w:rsid w:val="00BC0827"/>
    <w:rsid w:val="00BC18BB"/>
    <w:rsid w:val="00BD699E"/>
    <w:rsid w:val="00BE2E39"/>
    <w:rsid w:val="00BE34AB"/>
    <w:rsid w:val="00BE4FCE"/>
    <w:rsid w:val="00BF1BC3"/>
    <w:rsid w:val="00BF4A97"/>
    <w:rsid w:val="00C03785"/>
    <w:rsid w:val="00C26563"/>
    <w:rsid w:val="00C31AEF"/>
    <w:rsid w:val="00C45D1B"/>
    <w:rsid w:val="00C47B52"/>
    <w:rsid w:val="00C635AB"/>
    <w:rsid w:val="00C66F40"/>
    <w:rsid w:val="00C85061"/>
    <w:rsid w:val="00CA400C"/>
    <w:rsid w:val="00CB067A"/>
    <w:rsid w:val="00CC6C79"/>
    <w:rsid w:val="00CC7B66"/>
    <w:rsid w:val="00CE30CF"/>
    <w:rsid w:val="00CE38E9"/>
    <w:rsid w:val="00D007A9"/>
    <w:rsid w:val="00D0429E"/>
    <w:rsid w:val="00D133E9"/>
    <w:rsid w:val="00D14371"/>
    <w:rsid w:val="00D222C7"/>
    <w:rsid w:val="00D22970"/>
    <w:rsid w:val="00D36BFE"/>
    <w:rsid w:val="00D37406"/>
    <w:rsid w:val="00D416BD"/>
    <w:rsid w:val="00D43E1E"/>
    <w:rsid w:val="00D5267C"/>
    <w:rsid w:val="00D66C1E"/>
    <w:rsid w:val="00D671E9"/>
    <w:rsid w:val="00D75B2D"/>
    <w:rsid w:val="00D861C9"/>
    <w:rsid w:val="00DA0F4E"/>
    <w:rsid w:val="00DB0470"/>
    <w:rsid w:val="00DB0F62"/>
    <w:rsid w:val="00DB62A7"/>
    <w:rsid w:val="00DC68C8"/>
    <w:rsid w:val="00DC7FE7"/>
    <w:rsid w:val="00DD172B"/>
    <w:rsid w:val="00DD6BA8"/>
    <w:rsid w:val="00DE06D8"/>
    <w:rsid w:val="00DE2286"/>
    <w:rsid w:val="00DF15C0"/>
    <w:rsid w:val="00DF7F5C"/>
    <w:rsid w:val="00E04286"/>
    <w:rsid w:val="00E05F45"/>
    <w:rsid w:val="00E0726D"/>
    <w:rsid w:val="00E177CA"/>
    <w:rsid w:val="00E46905"/>
    <w:rsid w:val="00E71231"/>
    <w:rsid w:val="00E8505B"/>
    <w:rsid w:val="00E87E42"/>
    <w:rsid w:val="00EA0AFB"/>
    <w:rsid w:val="00EA1CC4"/>
    <w:rsid w:val="00EA33B0"/>
    <w:rsid w:val="00EA4E76"/>
    <w:rsid w:val="00EA5024"/>
    <w:rsid w:val="00EB0F3F"/>
    <w:rsid w:val="00EB5A26"/>
    <w:rsid w:val="00EB717C"/>
    <w:rsid w:val="00EC299A"/>
    <w:rsid w:val="00ED1242"/>
    <w:rsid w:val="00ED168A"/>
    <w:rsid w:val="00ED7A13"/>
    <w:rsid w:val="00EE4F9F"/>
    <w:rsid w:val="00EF2478"/>
    <w:rsid w:val="00F06722"/>
    <w:rsid w:val="00F10D89"/>
    <w:rsid w:val="00F157DB"/>
    <w:rsid w:val="00F23242"/>
    <w:rsid w:val="00F31DAB"/>
    <w:rsid w:val="00F462D7"/>
    <w:rsid w:val="00F51084"/>
    <w:rsid w:val="00F54C43"/>
    <w:rsid w:val="00F64144"/>
    <w:rsid w:val="00F76085"/>
    <w:rsid w:val="00F77770"/>
    <w:rsid w:val="00FB304F"/>
    <w:rsid w:val="00FF0CE8"/>
    <w:rsid w:val="00FF21B7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4F4511B1-B4D5-40E5-9B8A-F5E8EAC7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1835-C712-4ECD-84AD-9D6590AD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Grzegorz Zubień</cp:lastModifiedBy>
  <cp:revision>4</cp:revision>
  <cp:lastPrinted>2019-02-22T17:49:00Z</cp:lastPrinted>
  <dcterms:created xsi:type="dcterms:W3CDTF">2019-07-29T07:47:00Z</dcterms:created>
  <dcterms:modified xsi:type="dcterms:W3CDTF">2020-08-05T07:50:00Z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